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none" w:sz="0" w:space="0" w:color=""/>
          <w:insideV w:val="none" w:sz="0" w:space="0" w:color=""/>
        </w:tblBorders>
      </w:tblPr>
      <w:tblPr>
        <w:tblW w:w="5000" w:type="pct"/>
      </w:tblPr>
      <w:tr>
        <w:trPr>
          <w:trHeight w:val="360"/>
        </w:trPr>
        <w:tc>
          <w:tcPr>
            <w:tcW w:w="2000"/>
          </w:tcPr>
          <w:p>
            <w:pPr>
              <w:spacing w:lineRule="exact" w:after="0"/>
              <w:jc w:val="right"/>
            </w:pPr>
            <w:r>
              <w:rPr>
                <w:b w:val="true"/>
              </w:rPr>
              <w:t>Session Template:</w:t>
            </w:r>
          </w:p>
        </w:tc>
        <w:tc>
          <w:tcPr>
            <w:tcW w:w="3000"/>
          </w:tcPr>
          <w:p>
            <w:pPr>
              <w:spacing w:lineRule="exact" w:after="0"/>
              <w:jc w:val="left"/>
            </w:pPr>
            <w:r>
              <w:rPr>
                <w:b w:val="false"/>
              </w:rPr>
              <w:t>Template - Core *</w:t>
            </w:r>
          </w:p>
        </w:tc>
        <w:tc>
          <w:tcPr>
            <w:tcW w:w="2000"/>
          </w:tcPr>
          <w:p>
            <w:pPr>
              <w:spacing w:lineRule="exact" w:after="0"/>
              <w:jc w:val="right"/>
            </w:pPr>
            <w:r>
              <w:rPr>
                <w:b w:val="true"/>
              </w:rPr>
              <w:t>Mode:</w:t>
            </w:r>
          </w:p>
        </w:tc>
        <w:tc>
          <w:tcPr>
            <w:tcW w:w="3000"/>
          </w:tcPr>
          <w:p>
            <w:pPr>
              <w:spacing w:lineRule="exact" w:after="0"/>
              <w:jc w:val="left"/>
            </w:pPr>
            <w:r>
              <w:rPr>
                <w:b w:val="false"/>
              </w:rPr>
              <w:t>Sufficient</w:t>
            </w:r>
          </w:p>
        </w:tc>
      </w:tr>
      <w:tr>
        <w:trPr>
          <w:trHeight w:val="360"/>
        </w:trPr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 xml:space="preserve">Endpoint: 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EGM</w:t>
            </w:r>
          </w:p>
        </w:tc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Protocol: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G2S</w:t>
            </w:r>
          </w:p>
        </w:tc>
      </w:tr>
      <w:tr>
        <w:trPr>
          <w:trHeight w:val="360"/>
        </w:trPr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 xml:space="preserve">Transport Version: 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v1.2.0</w:t>
            </w:r>
          </w:p>
        </w:tc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G2S Version: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v1.1.0</w:t>
            </w:r>
          </w:p>
        </w:tc>
      </w:tr>
      <w:tr>
        <w:trPr>
          <w:trHeight w:val="360"/>
        </w:trPr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 xml:space="preserve">Start Time: 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26-Mar-2014 01:50:51PM</w:t>
            </w:r>
          </w:p>
        </w:tc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End Time: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26-Mar-2014 01:54:31PM</w:t>
            </w:r>
          </w:p>
        </w:tc>
      </w:tr>
      <w:tr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Session Tag: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Session Tag - 26-Mar-2014</w:t>
            </w:r>
          </w:p>
        </w:tc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Software Version: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CVT 8.12.0</w:t>
            </w:r>
          </w:p>
        </w:tc>
      </w:tr>
    </w:tbl>
    <w:p>
      <w:pPr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Comments:</w:t>
      </w:r>
    </w:p>
    <w:p>
      <w:pPr>
        <w:spacing w:lineRule="exact" w:after="0"/>
      </w:pPr>
      <w:r>
        <w:rPr>
          <w:position w:val="10"/>
        </w:rPr>
        <w:t>Comments, entered in the Save screen, appear in reports</w:t>
      </w:r>
    </w:p>
    <w:p>
      <w:pPr>
        <w:spacing w:lineRule="exact" w:after="0"/>
      </w:pPr>
      <w:r>
        <w:rPr>
          <w:position w:val="10"/>
        </w:rPr>
        <w:t>Multiple lines are provided.</w:t>
      </w:r>
    </w:p>
    <w:p>
      <w:pPr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Event Handler[All]: Core Functionality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Pr>
        <w:tblW w:w="5000" w:type="pct"/>
      </w:tblPr>
      <w:tr>
        <w:trPr>
          <w:tblHeader w:val="on"/>
        </w:trPr>
        <w:tc>
          <w:tcPr>
            <w:tcW w:w="7000"/>
          </w:tcPr>
          <w:tcPr>
            <w:tcW w:w="350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Test Case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Passed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Failed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EH-COR-00001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EH-COR-00014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</w:tbl>
    <w:p>
      <w:pPr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Event Handler[17]: Core Functionality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Pr>
        <w:tblW w:w="5000" w:type="pct"/>
      </w:tblPr>
      <w:tr>
        <w:trPr>
          <w:tblHeader w:val="on"/>
        </w:trPr>
        <w:tc>
          <w:tcPr>
            <w:tcW w:w="7000"/>
          </w:tcPr>
          <w:tcPr>
            <w:tcW w:w="350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Test Case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Passed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Failed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EH-COR-00005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EH-COR-00007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EH-COR-00013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EH-COR-00015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An unexpected error of G2S_EHX001 was received.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EH-COR-00016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EH-COR-00017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EH-COR-00018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EH-COR-00019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EH-COR-00020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EH-COR-00021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EGM MUST NOT accept an event subscription for CVT_testing[-1].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EGM MUST NOT accept an event subscription for G2S_eventHandler[2147483647].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EGM MUST return an empty event subscription list for G2S_all[-1], event code G2S_all.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EH-COR-00022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Event G2S_EHE101 should not be generated at this time.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</w:tr>
    </w:tbl>
    <w:p>
      <w:pPr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Meters[All]: Core Functionality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Pr>
        <w:tblW w:w="5000" w:type="pct"/>
      </w:tblPr>
      <w:tr>
        <w:trPr>
          <w:tblHeader w:val="on"/>
        </w:trPr>
        <w:tc>
          <w:tcPr>
            <w:tcW w:w="7000"/>
          </w:tcPr>
          <w:tcPr>
            <w:tcW w:w="350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Test Case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Passed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Failed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MT-COR-00001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Wild cards are not allowed in meters.meterSubList commands.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</w:tr>
    </w:tbl>
    <w:p>
      <w:pPr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Meters[17]: Core Functionality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Pr>
        <w:tblW w:w="5000" w:type="pct"/>
      </w:tblPr>
      <w:tr>
        <w:trPr>
          <w:tblHeader w:val="on"/>
        </w:trPr>
        <w:tc>
          <w:tcPr>
            <w:tcW w:w="7000"/>
          </w:tcPr>
          <w:tcPr>
            <w:tcW w:w="350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Test Case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Passed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Failed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MT-COR-00002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MT-COR-00005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MT-COR-00006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Event G2S_EHE101 was expected, but it was not received.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Event G2S_EHE005 was expected, but it was not received.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MT-COR-00007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MT-COR-00008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MT-COR-00010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EGM MUST return a G2S_MTX002 Invalid Periodic Meter Values error for periodicBase = 86400001.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EGM MUST return a G2S_MTX002 Invalid Periodic Meter Values error for eodBase = 86400001.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MT-COR-00011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MT-COR-00014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Meter G2S_wageredAmt in G2S_gamePlay[0] was expected to have meter definitions.</w:t>
            </w:r>
          </w:p>
          <w:p>
            <w:pPr>
              <w:spacing w:lineRule="exact" w:after="0"/>
              <w:jc w:val="left"/>
            </w:pPr>
            <w:r>
              <w:rPr>
                <w:b w:val="false"/>
                <w:color w:val="FF0000"/>
              </w:rPr>
              <w:t xml:space="preserve">     Meter G2S_egmDispensedCashableAmt in G2S_cabinet[526059076] was expected to have meter definitions.</w:t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/>
            </w:r>
          </w:p>
        </w:tc>
        <w:tc>
          <w:p>
            <w:pPr>
              <w:spacing w:lineRule="exact" w:after="0"/>
              <w:jc w:val="center"/>
            </w:pPr>
            <w:r>
              <w:rPr>
                <w:b w:val="false"/>
              </w:rPr>
              <w:t>X</w:t>
            </w:r>
          </w:p>
        </w:tc>
      </w:tr>
    </w:tbl>
    <w:p>
      <w:pPr>
        <w:spacing w:lineRule="exact" w:after="0"/>
      </w:pPr>
    </w:p>
    <w:p>
      <w:pPr>
        <w:pageBreakBefore/>
        <w:spacing w:lineRule="exact" w:after="0" w:before="0"/>
      </w:pPr>
      <w:pPr>
        <w:keepNext w:val="true"/>
      </w:pPr>
      <w:r>
        <w:rPr>
          <w:b w:val="true"/>
          <w:color w:val="0000FF"/>
          <w:position w:val="10"/>
          <w:sz w:val="26"/>
        </w:rPr>
        <w:t>CVT Exceptions</w:t>
      </w:r>
    </w:p>
    <w:p>
      <w:pPr>
        <w:spacing w:lineRule="exact" w:after="0"/>
      </w:pPr>
    </w:p>
    <w:p>
      <w:pPr>
        <w:spacing w:lineRule="exact" w:after="0" w:before="0"/>
      </w:pPr>
      <w:pPr>
        <w:keepNext w:val="true"/>
      </w:pPr>
      <w:r>
        <w:rPr>
          <w:b w:val="true"/>
          <w:color w:val="0000FF"/>
          <w:position w:val="10"/>
          <w:sz w:val="26"/>
        </w:rPr>
        <w:t>CE-02: Functional Groups Present But Not Tested</w:t>
      </w:r>
    </w:p>
    <w:p>
      <w:pPr>
        <w:spacing w:lineRule="exact" w:after="0"/>
      </w:pPr>
      <w:r>
        <w:rPr>
          <w:position w:val="10"/>
        </w:rPr>
        <w:t xml:space="preserve">  •  BN-COR: Core Bonus Functionality</w:t>
      </w:r>
    </w:p>
    <w:p>
      <w:pPr>
        <w:spacing w:lineRule="exact" w:after="0"/>
      </w:pPr>
      <w:r>
        <w:rPr>
          <w:position w:val="10"/>
        </w:rPr>
        <w:t xml:space="preserve">  •  BN-LIM: Bonus Award Limits (Extension igtBonus)</w:t>
      </w:r>
    </w:p>
    <w:p>
      <w:pPr>
        <w:spacing w:lineRule="exact" w:after="0"/>
      </w:pPr>
      <w:r>
        <w:rPr>
          <w:position w:val="10"/>
        </w:rPr>
        <w:t xml:space="preserve">  •  BN-MJT: Multiple Jackpot Time Bonus Support (Extension igtMJT)</w:t>
      </w:r>
    </w:p>
    <w:p>
      <w:pPr>
        <w:spacing w:lineRule="exact" w:after="0"/>
      </w:pPr>
      <w:r>
        <w:rPr>
          <w:position w:val="10"/>
        </w:rPr>
        <w:t xml:space="preserve">  •  BN-WGR: Wager Match Bonus Support (Extension igtWM)</w:t>
      </w:r>
    </w:p>
    <w:p>
      <w:pPr>
        <w:spacing w:lineRule="exact" w:after="0"/>
      </w:pPr>
      <w:r>
        <w:rPr>
          <w:position w:val="10"/>
        </w:rPr>
        <w:t xml:space="preserve">  •  CA-COR: Core Coin Acceptor Functionality</w:t>
      </w:r>
    </w:p>
    <w:p>
      <w:pPr>
        <w:spacing w:lineRule="exact" w:after="0"/>
      </w:pPr>
      <w:r>
        <w:rPr>
          <w:position w:val="10"/>
        </w:rPr>
        <w:t xml:space="preserve">  •  CB-OHS: Operating Hours Support (Extension gtkOH)</w:t>
      </w:r>
    </w:p>
    <w:p>
      <w:pPr>
        <w:spacing w:lineRule="exact" w:after="0"/>
      </w:pPr>
      <w:r>
        <w:rPr>
          <w:position w:val="10"/>
        </w:rPr>
        <w:t xml:space="preserve">  •  CC-COR: Core Communications Configuration Functionality</w:t>
      </w:r>
    </w:p>
    <w:p>
      <w:pPr>
        <w:spacing w:lineRule="exact" w:after="0"/>
      </w:pPr>
      <w:r>
        <w:rPr>
          <w:position w:val="10"/>
        </w:rPr>
        <w:t xml:space="preserve">  •  CM-MUL: Multicast Message Support</w:t>
      </w:r>
    </w:p>
    <w:p>
      <w:pPr>
        <w:spacing w:lineRule="exact" w:after="0"/>
      </w:pPr>
      <w:r>
        <w:rPr>
          <w:position w:val="10"/>
        </w:rPr>
        <w:t xml:space="preserve">  •  DL-COR: Core Software Download Functionality</w:t>
      </w:r>
    </w:p>
    <w:p>
      <w:pPr>
        <w:spacing w:lineRule="exact" w:after="0"/>
      </w:pPr>
      <w:r>
        <w:rPr>
          <w:position w:val="10"/>
        </w:rPr>
        <w:t xml:space="preserve">  •  DL-PRA: Pause/Resume/Abort Support (Extension gtkDL)</w:t>
      </w:r>
    </w:p>
    <w:p>
      <w:pPr>
        <w:spacing w:lineRule="exact" w:after="0"/>
      </w:pPr>
      <w:r>
        <w:rPr>
          <w:position w:val="10"/>
        </w:rPr>
        <w:t xml:space="preserve">  •  DL-UPL: Software Upload Support</w:t>
      </w:r>
    </w:p>
    <w:p>
      <w:pPr>
        <w:spacing w:lineRule="exact" w:after="0"/>
      </w:pPr>
      <w:r>
        <w:rPr>
          <w:position w:val="10"/>
        </w:rPr>
        <w:t xml:space="preserve">  •  GA-COR: Core Game Authentication Functionality</w:t>
      </w:r>
    </w:p>
    <w:p>
      <w:pPr>
        <w:spacing w:lineRule="exact" w:after="0"/>
      </w:pPr>
      <w:r>
        <w:rPr>
          <w:position w:val="10"/>
        </w:rPr>
        <w:t xml:space="preserve">  •  GP-GOS: Game Outcome Support (Extension 1k)</w:t>
      </w:r>
    </w:p>
    <w:p>
      <w:pPr>
        <w:spacing w:lineRule="exact" w:after="0"/>
      </w:pPr>
      <w:r>
        <w:rPr>
          <w:position w:val="10"/>
        </w:rPr>
        <w:t xml:space="preserve">  •  HP-COR: Core Coin Hopper Functionality</w:t>
      </w:r>
    </w:p>
    <w:p>
      <w:pPr>
        <w:spacing w:lineRule="exact" w:after="0"/>
      </w:pPr>
      <w:r>
        <w:rPr>
          <w:position w:val="10"/>
        </w:rPr>
        <w:t xml:space="preserve">  •  ID-COR: Core ID Reader Functionality</w:t>
      </w:r>
    </w:p>
    <w:p>
      <w:pPr>
        <w:spacing w:lineRule="exact" w:after="0"/>
      </w:pPr>
      <w:r>
        <w:rPr>
          <w:position w:val="10"/>
        </w:rPr>
        <w:t xml:space="preserve">  •  ID-EGM: EGM-Controlled ID Reader</w:t>
      </w:r>
    </w:p>
    <w:p>
      <w:pPr>
        <w:spacing w:lineRule="exact" w:after="0"/>
      </w:pPr>
      <w:r>
        <w:rPr>
          <w:position w:val="10"/>
        </w:rPr>
        <w:t xml:space="preserve">  •  ID-HST: Host-Controlled ID Reader</w:t>
      </w:r>
    </w:p>
    <w:p>
      <w:pPr>
        <w:spacing w:lineRule="exact" w:after="0"/>
      </w:pPr>
      <w:r>
        <w:rPr>
          <w:position w:val="10"/>
        </w:rPr>
        <w:t xml:space="preserve">  •  JP-COR: Core HandPay Functionality</w:t>
      </w:r>
    </w:p>
    <w:p>
      <w:pPr>
        <w:spacing w:lineRule="exact" w:after="0"/>
      </w:pPr>
      <w:r>
        <w:rPr>
          <w:position w:val="10"/>
        </w:rPr>
        <w:t xml:space="preserve">  •  MD-COR: Core Media Display (PUI) Functionality (Extension igtMediaDisplay)</w:t>
      </w:r>
    </w:p>
    <w:p>
      <w:pPr>
        <w:spacing w:lineRule="exact" w:after="0"/>
      </w:pPr>
      <w:r>
        <w:rPr>
          <w:position w:val="10"/>
        </w:rPr>
        <w:t xml:space="preserve">  •  MT-AUD: Audit Meter Support (Extension g2sAM)</w:t>
      </w:r>
    </w:p>
    <w:p>
      <w:pPr>
        <w:spacing w:lineRule="exact" w:after="0"/>
      </w:pPr>
      <w:r>
        <w:rPr>
          <w:position w:val="10"/>
        </w:rPr>
        <w:t xml:space="preserve">  •  NA-COR: Core Note Acceptor Functionality</w:t>
      </w:r>
    </w:p>
    <w:p>
      <w:pPr>
        <w:spacing w:lineRule="exact" w:after="0"/>
      </w:pPr>
      <w:r>
        <w:rPr>
          <w:position w:val="10"/>
        </w:rPr>
        <w:t xml:space="preserve">  •  ND-COR: Core Note Dispenser Functionality</w:t>
      </w:r>
    </w:p>
    <w:p>
      <w:pPr>
        <w:spacing w:lineRule="exact" w:after="0"/>
      </w:pPr>
      <w:r>
        <w:rPr>
          <w:position w:val="10"/>
        </w:rPr>
        <w:t xml:space="preserve">  •  OC-COR: Core Option Configuration Functionality</w:t>
      </w:r>
    </w:p>
    <w:p>
      <w:pPr>
        <w:spacing w:lineRule="exact" w:after="0"/>
      </w:pPr>
      <w:r>
        <w:rPr>
          <w:position w:val="10"/>
        </w:rPr>
        <w:t xml:space="preserve">  •  PG-COR: Core Progressive Functionality</w:t>
      </w:r>
    </w:p>
    <w:p>
      <w:pPr>
        <w:spacing w:lineRule="exact" w:after="0"/>
      </w:pPr>
      <w:r>
        <w:rPr>
          <w:position w:val="10"/>
        </w:rPr>
        <w:t xml:space="preserve">  •  PG-DIS: EGM Discovery of Host Progressive Configuration</w:t>
      </w:r>
    </w:p>
    <w:p>
      <w:pPr>
        <w:spacing w:lineRule="exact" w:after="0"/>
      </w:pPr>
      <w:r>
        <w:rPr>
          <w:position w:val="10"/>
        </w:rPr>
        <w:t xml:space="preserve">  •  PR-COR: Core Player Tracking Functionality</w:t>
      </w:r>
    </w:p>
    <w:p>
      <w:pPr>
        <w:spacing w:lineRule="exact" w:after="0"/>
      </w:pPr>
      <w:r>
        <w:rPr>
          <w:position w:val="10"/>
        </w:rPr>
        <w:t xml:space="preserve">  •  PR-LIM: Display Limit Support (Extension igtPlayer-limits)</w:t>
      </w:r>
    </w:p>
    <w:p>
      <w:pPr>
        <w:spacing w:lineRule="exact" w:after="0"/>
      </w:pPr>
      <w:r>
        <w:rPr>
          <w:position w:val="10"/>
        </w:rPr>
        <w:t xml:space="preserve">  •  PR-WGR: Wager Match Player Support (Extension igtWMP)</w:t>
      </w:r>
    </w:p>
    <w:p>
      <w:pPr>
        <w:spacing w:lineRule="exact" w:after="0"/>
      </w:pPr>
      <w:r>
        <w:rPr>
          <w:position w:val="10"/>
        </w:rPr>
        <w:t xml:space="preserve">  •  PT-COR: Core Player Tracking Functionality</w:t>
      </w:r>
    </w:p>
    <w:p>
      <w:pPr>
        <w:spacing w:lineRule="exact" w:after="0"/>
      </w:pPr>
      <w:r>
        <w:rPr>
          <w:position w:val="10"/>
        </w:rPr>
        <w:t xml:space="preserve">  •  PT-HST: Host-Initiated Printing Support</w:t>
      </w:r>
    </w:p>
    <w:p>
      <w:pPr>
        <w:spacing w:lineRule="exact" w:after="0"/>
      </w:pPr>
      <w:r>
        <w:rPr>
          <w:position w:val="10"/>
        </w:rPr>
        <w:t xml:space="preserve">  •  PT-RSC: Restrict Printing to Specific Players (Extension igtPrn)</w:t>
      </w:r>
    </w:p>
    <w:p>
      <w:pPr>
        <w:spacing w:lineRule="exact" w:after="0"/>
      </w:pPr>
      <w:r>
        <w:rPr>
          <w:position w:val="10"/>
        </w:rPr>
        <w:t xml:space="preserve">  •  ST-COR: Core Storage Requirements Functionality</w:t>
      </w:r>
    </w:p>
    <w:p>
      <w:pPr>
        <w:spacing w:lineRule="exact" w:after="0"/>
      </w:pPr>
      <w:r>
        <w:rPr>
          <w:position w:val="10"/>
        </w:rPr>
        <w:t xml:space="preserve">  •  VC-COR: Core Voucher Functionality</w:t>
      </w:r>
    </w:p>
    <w:p>
      <w:pPr>
        <w:spacing w:lineRule="exact" w:after="0"/>
      </w:pPr>
      <w:r>
        <w:rPr>
          <w:position w:val="10"/>
        </w:rPr>
        <w:t xml:space="preserve">  •  VC-ISS: Issue Voucher Support</w:t>
      </w:r>
    </w:p>
    <w:p>
      <w:pPr>
        <w:spacing w:lineRule="exact" w:after="0"/>
      </w:pPr>
      <w:r>
        <w:rPr>
          <w:position w:val="10"/>
        </w:rPr>
        <w:t xml:space="preserve">  •  VC-RDM: Redeem Voucher Support</w:t>
      </w:r>
    </w:p>
    <w:p>
      <w:pPr>
        <w:spacing w:lineRule="exact" w:after="0"/>
      </w:pPr>
      <w:r>
        <w:rPr>
          <w:position w:val="10"/>
        </w:rPr>
        <w:t xml:space="preserve">  •  WT-COR: Core Wagering Account Functionality</w:t>
      </w:r>
    </w:p>
    <w:p>
      <w:pPr>
        <w:spacing w:lineRule="exact" w:after="0"/>
      </w:pPr>
      <w:r>
        <w:rPr>
          <w:position w:val="10"/>
        </w:rPr>
        <w:t xml:space="preserve">  •  WT-EGM: EGM-Controlled User Interface</w:t>
      </w:r>
    </w:p>
    <w:p>
      <w:pPr>
        <w:spacing w:lineRule="exact" w:after="0"/>
      </w:pPr>
    </w:p>
    <w:p>
      <w:pPr>
        <w:spacing w:lineRule="exact" w:after="0" w:before="0"/>
      </w:pPr>
      <w:pPr>
        <w:keepNext w:val="true"/>
      </w:pPr>
      <w:r>
        <w:rPr>
          <w:b w:val="true"/>
          <w:color w:val="0000FF"/>
          <w:position w:val="10"/>
          <w:sz w:val="26"/>
        </w:rPr>
        <w:t>CE-03: Excluded Test Cases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Pr>
        <w:tblW w:w="5000" w:type="pct"/>
      </w:tblPr>
      <w:tr>
        <w:trPr>
          <w:tblHeader w:val="on"/>
        </w:trPr>
        <w:tc>
          <w:tcPr>
            <w:tcW w:w="1000"/>
          </w:tcPr>
          <w:tcPr>
            <w:tcW w:w="100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Test Case</w:t>
            </w:r>
          </w:p>
        </w:tc>
        <w:tc>
          <w:tcPr>
            <w:tcW w:w="4000"/>
          </w:tcPr>
          <w:tcPr>
            <w:tcW w:w="400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Reason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EH-COR-00003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The EGM device G2S_eventHandler does not have the required non-guest permission(s)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EH-COR-00004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The EGM device G2S_eventHandler does not have the required guest permission(s)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MT-COR-00003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The EGM device G2S_meters does not have the required non-guest permission(s)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MT-COR-00004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The EGM device G2S_meters does not have the required guest permission(s)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MT-COR-00009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The Test Case is not of type non-interactive.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MT-COR-00012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The Test Case is not of type non-interactive.</w:t>
            </w:r>
          </w:p>
        </w:tc>
      </w:tr>
    </w:tbl>
    <w:p>
      <w:pPr>
        <w:spacing w:lineRule="exact" w:after="0"/>
      </w:pPr>
    </w:p>
    <w:p>
      <w:pPr>
        <w:spacing w:lineRule="exact" w:after="0"/>
      </w:pPr>
    </w:p>
    <w:p>
      <w:pPr>
        <w:spacing w:lineRule="exact" w:after="0" w:before="0"/>
      </w:pPr>
      <w:pPr>
        <w:keepNext w:val="true"/>
      </w:pPr>
      <w:r>
        <w:rPr>
          <w:b w:val="true"/>
          <w:color w:val="0000FF"/>
          <w:position w:val="10"/>
          <w:sz w:val="26"/>
        </w:rPr>
        <w:t>CE-05: Unknown Attributes</w:t>
      </w:r>
    </w:p>
    <w:p>
      <w:pPr>
        <w:spacing w:lineRule="exact" w:after="0"/>
      </w:pPr>
      <w:r>
        <w:rPr>
          <w:position w:val="10"/>
        </w:rPr>
        <w:t xml:space="preserve">  •  G1:configDateTime in eventHandler.eventReport</w:t>
      </w:r>
    </w:p>
    <w:p>
      <w:pPr>
        <w:spacing w:lineRule="exact" w:after="0"/>
      </w:pPr>
      <w:r>
        <w:rPr>
          <w:position w:val="10"/>
        </w:rPr>
        <w:t xml:space="preserve">  •  g2s1:allowVoucherIssue in voucher.voucherProfile</w:t>
      </w:r>
    </w:p>
    <w:p>
      <w:pPr>
        <w:spacing w:lineRule="exact" w:after="0"/>
      </w:pPr>
      <w:r>
        <w:rPr>
          <w:position w:val="10"/>
        </w:rPr>
        <w:t xml:space="preserve">  •  g2s1:allowVoucherRedeem in voucher.voucherProfile</w:t>
      </w:r>
    </w:p>
    <w:p>
      <w:pPr>
        <w:spacing w:lineRule="exact" w:after="0"/>
      </w:pPr>
      <w:r>
        <w:rPr>
          <w:position w:val="10"/>
        </w:rPr>
        <w:t xml:space="preserve">  •  g2s1:configComplete in voucher.getValidationData</w:t>
      </w:r>
    </w:p>
    <w:p>
      <w:pPr>
        <w:spacing w:lineRule="exact" w:after="0"/>
      </w:pPr>
      <w:r>
        <w:rPr>
          <w:position w:val="10"/>
        </w:rPr>
        <w:t xml:space="preserve">  •  g2s1:configDateTime in eventHandler.eventHandlerStatus</w:t>
      </w:r>
    </w:p>
    <w:p>
      <w:pPr>
        <w:spacing w:lineRule="exact" w:after="0"/>
      </w:pPr>
      <w:r>
        <w:rPr>
          <w:position w:val="10"/>
        </w:rPr>
        <w:t xml:space="preserve">  •  g2s1:disableBehavior in eventHandler.eventHandlerProfile</w:t>
      </w:r>
    </w:p>
    <w:p>
      <w:pPr>
        <w:spacing w:lineRule="exact" w:after="0"/>
      </w:pPr>
      <w:r>
        <w:rPr>
          <w:position w:val="10"/>
        </w:rPr>
        <w:t xml:space="preserve">  •  g2s1:egmIdle in cabinet.cabinetStatus</w:t>
      </w:r>
    </w:p>
    <w:p>
      <w:pPr>
        <w:spacing w:lineRule="exact" w:after="0"/>
      </w:pPr>
      <w:r>
        <w:rPr>
          <w:position w:val="10"/>
        </w:rPr>
        <w:t xml:space="preserve">  •  g2s1:g2sResetSupported in cabinet.cabinetProfile</w:t>
      </w:r>
    </w:p>
    <w:p>
      <w:pPr>
        <w:spacing w:lineRule="exact" w:after="0"/>
      </w:pPr>
      <w:r>
        <w:rPr>
          <w:position w:val="10"/>
        </w:rPr>
        <w:t xml:space="preserve">  •  g2s1:maxOffLinePayOut in voucher.voucherProfile</w:t>
      </w:r>
    </w:p>
    <w:p>
      <w:pPr>
        <w:spacing w:lineRule="exact" w:after="0"/>
      </w:pPr>
      <w:r>
        <w:rPr>
          <w:position w:val="10"/>
        </w:rPr>
        <w:t xml:space="preserve">  •  g2s1:maxOnLinePayOut in voucher.voucherProfile</w:t>
      </w:r>
    </w:p>
    <w:p>
      <w:pPr>
        <w:spacing w:lineRule="exact" w:after="0"/>
      </w:pPr>
      <w:r>
        <w:rPr>
          <w:position w:val="10"/>
        </w:rPr>
        <w:t xml:space="preserve">  •  g2s1:onCoinDrop in meters.meterSubList</w:t>
      </w:r>
    </w:p>
    <w:p>
      <w:pPr>
        <w:spacing w:lineRule="exact" w:after="0"/>
      </w:pPr>
      <w:r>
        <w:rPr>
          <w:position w:val="10"/>
        </w:rPr>
        <w:t xml:space="preserve">  •  g2s1:onDoorOpen in meters.meterSubList</w:t>
      </w:r>
    </w:p>
    <w:p>
      <w:pPr>
        <w:spacing w:lineRule="exact" w:after="0"/>
      </w:pPr>
      <w:r>
        <w:rPr>
          <w:position w:val="10"/>
        </w:rPr>
        <w:t xml:space="preserve">  •  g2s1:onEOD in meters.meterSubList</w:t>
      </w:r>
    </w:p>
    <w:p>
      <w:pPr>
        <w:spacing w:lineRule="exact" w:after="0"/>
      </w:pPr>
      <w:r>
        <w:rPr>
          <w:position w:val="10"/>
        </w:rPr>
        <w:t xml:space="preserve">  •  g2s1:onNoteDrop in meters.meterSubList</w:t>
      </w:r>
    </w:p>
    <w:p>
      <w:pPr>
        <w:spacing w:lineRule="exact" w:after="0"/>
      </w:pPr>
      <w:r>
        <w:rPr>
          <w:position w:val="10"/>
        </w:rPr>
        <w:t xml:space="preserve">  •  g2s1:printNonCashOffLine in voucher.voucherProfile</w:t>
      </w:r>
    </w:p>
    <w:p>
      <w:pPr>
        <w:spacing w:lineRule="exact" w:after="0"/>
      </w:pPr>
      <w:r>
        <w:rPr>
          <w:position w:val="10"/>
        </w:rPr>
        <w:t xml:space="preserve">  •  g2s1:reelsTilted in gamePlay.gamePlayStatus</w:t>
      </w:r>
    </w:p>
    <w:p>
      <w:pPr>
        <w:spacing w:lineRule="exact" w:after="0"/>
      </w:pPr>
      <w:r>
        <w:rPr>
          <w:position w:val="10"/>
        </w:rPr>
        <w:t xml:space="preserve">  •  g2s2:cashOutOnDisable in cabinet.cabinetProfile</w:t>
      </w:r>
    </w:p>
    <w:p>
      <w:pPr>
        <w:spacing w:lineRule="exact" w:after="0"/>
      </w:pPr>
      <w:r>
        <w:rPr>
          <w:position w:val="10"/>
        </w:rPr>
        <w:t xml:space="preserve">  •  g2s2:denomMeterType in gamePlay.gamePlayProfile</w:t>
      </w:r>
    </w:p>
    <w:p>
      <w:pPr>
        <w:spacing w:lineRule="exact" w:after="0"/>
      </w:pPr>
      <w:r>
        <w:rPr>
          <w:position w:val="10"/>
        </w:rPr>
        <w:t xml:space="preserve">  •  g2s2:derivedTransportState in communications.commsStatus</w:t>
      </w:r>
    </w:p>
    <w:p>
      <w:pPr>
        <w:spacing w:lineRule="exact" w:after="0"/>
      </w:pPr>
      <w:r>
        <w:rPr>
          <w:position w:val="10"/>
        </w:rPr>
        <w:t xml:space="preserve">  •  g2s2:listStateDateTime in optionConfig.optionChangeStatus</w:t>
      </w:r>
    </w:p>
    <w:p>
      <w:pPr>
        <w:spacing w:lineRule="exact" w:after="0"/>
      </w:pPr>
      <w:r>
        <w:rPr>
          <w:position w:val="10"/>
        </w:rPr>
        <w:t xml:space="preserve">  •  g2s2:localeId in cabinet.cabinetStatus</w:t>
      </w:r>
    </w:p>
    <w:p>
      <w:pPr>
        <w:spacing w:lineRule="exact" w:after="0"/>
      </w:pPr>
      <w:r>
        <w:rPr>
          <w:position w:val="10"/>
        </w:rPr>
        <w:t xml:space="preserve">  •  g2s2:maxActiveDenoms in cabinet.cabinetProfile</w:t>
      </w:r>
    </w:p>
    <w:p>
      <w:pPr>
        <w:spacing w:lineRule="exact" w:after="0"/>
      </w:pPr>
      <w:r>
        <w:rPr>
          <w:position w:val="10"/>
        </w:rPr>
        <w:t xml:space="preserve">  •  g2s2:maxEnabledThemes in cabinet.cabinetProfile</w:t>
      </w:r>
    </w:p>
    <w:p>
      <w:pPr>
        <w:spacing w:lineRule="exact" w:after="0"/>
      </w:pPr>
      <w:r>
        <w:rPr>
          <w:position w:val="10"/>
        </w:rPr>
        <w:t xml:space="preserve">  •  g2s2:multicastSupported in communications.commsProfile</w:t>
      </w:r>
    </w:p>
    <w:p>
      <w:pPr>
        <w:spacing w:lineRule="exact" w:after="0"/>
      </w:pPr>
      <w:r>
        <w:rPr>
          <w:position w:val="10"/>
        </w:rPr>
        <w:t xml:space="preserve">  •  g2s2:paytableName in gamePlay.gamePlayProfile</w:t>
      </w:r>
    </w:p>
    <w:p>
      <w:pPr>
        <w:spacing w:lineRule="exact" w:after="0"/>
      </w:pPr>
      <w:r>
        <w:rPr>
          <w:position w:val="10"/>
        </w:rPr>
        <w:t xml:space="preserve">  •  g2s2:reenrollmentFailed in communications.commsStatus</w:t>
      </w:r>
    </w:p>
    <w:p>
      <w:pPr>
        <w:spacing w:lineRule="exact" w:after="0"/>
      </w:pPr>
      <w:r>
        <w:rPr>
          <w:position w:val="10"/>
        </w:rPr>
        <w:t xml:space="preserve">  •  g2s2:themeName in gamePlay.gamePlayProfile</w:t>
      </w:r>
    </w:p>
    <w:p>
      <w:pPr>
        <w:spacing w:lineRule="exact" w:after="0"/>
      </w:pPr>
      <w:r>
        <w:rPr>
          <w:position w:val="10"/>
        </w:rPr>
        <w:t xml:space="preserve">  •  g2s2:timeZoneOffset in cabinet.cabinetStatus</w:t>
      </w:r>
    </w:p>
    <w:p>
      <w:pPr>
        <w:spacing w:lineRule="exact" w:after="0"/>
      </w:pPr>
      <w:r>
        <w:rPr>
          <w:position w:val="10"/>
        </w:rPr>
        <w:t xml:space="preserve">  •  g2s2:underlyingTransportState in communications.commsStatus</w:t>
      </w:r>
    </w:p>
    <w:p>
      <w:pPr>
        <w:spacing w:lineRule="exact" w:after="0"/>
      </w:pPr>
      <w:r>
        <w:rPr>
          <w:position w:val="10"/>
        </w:rPr>
        <w:t xml:space="preserve">  •  g2s2:validationIdsExpired in voucher.voucherStatus</w:t>
      </w:r>
    </w:p>
    <w:p>
      <w:pPr>
        <w:spacing w:lineRule="exact" w:after="0"/>
      </w:pPr>
      <w:r>
        <w:rPr>
          <w:position w:val="10"/>
        </w:rPr>
        <w:t xml:space="preserve">  •  g2s2:validationIdsRemaining in voucher.voucherStatus</w:t>
      </w:r>
    </w:p>
    <w:p>
      <w:pPr>
        <w:spacing w:lineRule="exact" w:after="0"/>
      </w:pPr>
      <w:r>
        <w:rPr>
          <w:position w:val="10"/>
        </w:rPr>
        <w:t xml:space="preserve">  •  g2sA:configDelayPeriod in cabinet.cabinetProfile</w:t>
      </w:r>
    </w:p>
    <w:p>
      <w:pPr>
        <w:spacing w:lineRule="exact" w:after="0"/>
      </w:pPr>
      <w:r>
        <w:rPr>
          <w:position w:val="10"/>
        </w:rPr>
        <w:t xml:space="preserve">  •  g2sA:egmLocked in gamePlay.gamePlayStatus</w:t>
      </w:r>
    </w:p>
    <w:p>
      <w:pPr>
        <w:spacing w:lineRule="exact" w:after="0"/>
      </w:pPr>
      <w:r>
        <w:rPr>
          <w:position w:val="10"/>
        </w:rPr>
        <w:t xml:space="preserve">  •  g2sA:enhancedConfigMode in cabinet.cabinetProfile</w:t>
      </w:r>
    </w:p>
    <w:p>
      <w:pPr>
        <w:spacing w:lineRule="exact" w:after="0"/>
      </w:pPr>
      <w:r>
        <w:rPr>
          <w:position w:val="10"/>
        </w:rPr>
        <w:t xml:space="preserve">  •  g2sA:generalFault in cabinet.cabinetStatus</w:t>
      </w:r>
    </w:p>
    <w:p>
      <w:pPr>
        <w:spacing w:lineRule="exact" w:after="0"/>
      </w:pPr>
      <w:r>
        <w:rPr>
          <w:position w:val="10"/>
        </w:rPr>
        <w:t xml:space="preserve">  •  g2sA:generalMemoryFault in cabinet.cabinetStatus</w:t>
      </w:r>
    </w:p>
    <w:p>
      <w:pPr>
        <w:spacing w:lineRule="exact" w:after="0"/>
      </w:pPr>
      <w:r>
        <w:rPr>
          <w:position w:val="10"/>
        </w:rPr>
        <w:t xml:space="preserve">  •  g2sA:maxPaybackPct in gamePlay.gamePlayProfile</w:t>
      </w:r>
    </w:p>
    <w:p>
      <w:pPr>
        <w:spacing w:lineRule="exact" w:after="0"/>
      </w:pPr>
      <w:r>
        <w:rPr>
          <w:position w:val="10"/>
        </w:rPr>
        <w:t xml:space="preserve">  •  g2sA:minPaybackPct in gamePlay.gamePlayProfile</w:t>
      </w:r>
    </w:p>
    <w:p>
      <w:pPr>
        <w:spacing w:lineRule="exact" w:after="0"/>
      </w:pPr>
      <w:r>
        <w:rPr>
          <w:position w:val="10"/>
        </w:rPr>
        <w:t xml:space="preserve">  •  g2sA:nvStorageFault in cabinet.cabinetStatus</w:t>
      </w:r>
    </w:p>
    <w:p>
      <w:pPr>
        <w:spacing w:lineRule="exact" w:after="0"/>
      </w:pPr>
      <w:r>
        <w:rPr>
          <w:position w:val="10"/>
        </w:rPr>
        <w:t xml:space="preserve">  •  g2sA:reelTilt in cabinet.cabinetStatus</w:t>
      </w:r>
    </w:p>
    <w:p>
      <w:pPr>
        <w:spacing w:lineRule="exact" w:after="0"/>
      </w:pPr>
      <w:r>
        <w:rPr>
          <w:position w:val="10"/>
        </w:rPr>
        <w:t xml:space="preserve">  •  g2sA:reelsTilted in cabinet.cabinetStatus</w:t>
      </w:r>
    </w:p>
    <w:p>
      <w:pPr>
        <w:spacing w:lineRule="exact" w:after="0"/>
      </w:pPr>
      <w:r>
        <w:rPr>
          <w:position w:val="10"/>
        </w:rPr>
        <w:t xml:space="preserve">  •  g2sA:restartStatusMode in cabinet.cabinetProfile</w:t>
      </w:r>
    </w:p>
    <w:p>
      <w:pPr>
        <w:spacing w:lineRule="exact" w:after="0"/>
      </w:pPr>
      <w:r>
        <w:rPr>
          <w:position w:val="10"/>
        </w:rPr>
        <w:t xml:space="preserve">  •  g2sA:videoDisplayFault in cabinet.cabinetStatus</w:t>
      </w:r>
    </w:p>
    <w:p>
      <w:pPr>
        <w:spacing w:lineRule="exact" w:after="0"/>
      </w:pPr>
      <w:r>
        <w:rPr>
          <w:position w:val="10"/>
        </w:rPr>
        <w:t xml:space="preserve">  •  rbg-extra:extra-attribute in gamePlay.gamePlayProfile</w:t>
      </w:r>
    </w:p>
    <w:p>
      <w:pPr>
        <w:spacing w:lineRule="exact" w:after="0"/>
      </w:pPr>
    </w:p>
    <w:p>
      <w:pPr>
        <w:spacing w:lineRule="exact" w:after="0" w:before="0"/>
      </w:pPr>
      <w:pPr>
        <w:keepNext w:val="true"/>
      </w:pPr>
      <w:r>
        <w:rPr>
          <w:b w:val="true"/>
          <w:color w:val="0000FF"/>
          <w:position w:val="10"/>
          <w:sz w:val="26"/>
        </w:rPr>
        <w:t>CE-11: Unknown Namespaces</w:t>
      </w:r>
    </w:p>
    <w:p>
      <w:pPr>
        <w:spacing w:lineRule="exact" w:after="0"/>
      </w:pPr>
      <w:r>
        <w:rPr>
          <w:position w:val="10"/>
        </w:rPr>
        <w:t xml:space="preserve">  •  http://www.gamingstandards.com/g2s/schemas/v1.0.3/Ext2</w:t>
      </w:r>
    </w:p>
    <w:p>
      <w:pPr>
        <w:spacing w:lineRule="exact" w:after="0"/>
      </w:pPr>
      <w:r>
        <w:rPr>
          <w:position w:val="10"/>
        </w:rPr>
        <w:t xml:space="preserve">  •  http://www.gamingstandards.com/g2s/schemas/v1.0.3/ExtA</w:t>
      </w:r>
    </w:p>
    <w:p>
      <w:pPr>
        <w:spacing w:lineRule="exact" w:after="0"/>
      </w:pPr>
      <w:r>
        <w:rPr>
          <w:position w:val="10"/>
        </w:rPr>
        <w:t xml:space="preserve">  •  http://www.radblue.com/extra</w:t>
      </w:r>
    </w:p>
    <w:p>
      <w:pPr>
        <w:spacing w:lineRule="exact" w:after="0"/>
      </w:pPr>
    </w:p>
    <w:p>
      <w:pPr>
        <w:spacing w:lineRule="exact" w:after="0" w:before="0"/>
      </w:pPr>
      <w:pPr>
        <w:keepNext w:val="true"/>
      </w:pPr>
      <w:r>
        <w:rPr>
          <w:b w:val="true"/>
          <w:color w:val="0000FF"/>
          <w:position w:val="10"/>
          <w:sz w:val="26"/>
        </w:rPr>
        <w:t>CE-13: Unknown Supported Events</w:t>
      </w:r>
    </w:p>
    <w:p>
      <w:pPr>
        <w:spacing w:lineRule="exact" w:after="0"/>
      </w:pPr>
      <w:r>
        <w:rPr>
          <w:position w:val="10"/>
        </w:rPr>
        <w:t xml:space="preserve">  •  G2S_CBE324</w:t>
      </w:r>
    </w:p>
    <w:p>
      <w:pPr>
        <w:spacing w:lineRule="exact" w:after="0"/>
      </w:pPr>
      <w:r>
        <w:rPr>
          <w:position w:val="10"/>
        </w:rPr>
        <w:t xml:space="preserve">  •  G2S_CBE328</w:t>
      </w:r>
    </w:p>
    <w:p>
      <w:pPr>
        <w:spacing w:lineRule="exact" w:after="0"/>
      </w:pPr>
      <w:r>
        <w:rPr>
          <w:position w:val="10"/>
        </w:rPr>
        <w:t xml:space="preserve">  •  G2S_CBE329</w:t>
      </w:r>
    </w:p>
    <w:p>
      <w:pPr>
        <w:spacing w:lineRule="exact" w:after="0"/>
      </w:pPr>
      <w:r>
        <w:rPr>
          <w:position w:val="10"/>
        </w:rPr>
        <w:t xml:space="preserve">  •  G2S_CBE330</w:t>
      </w:r>
    </w:p>
    <w:p>
      <w:pPr>
        <w:spacing w:lineRule="exact" w:after="0"/>
      </w:pPr>
      <w:r>
        <w:rPr>
          <w:position w:val="10"/>
        </w:rPr>
        <w:t xml:space="preserve">  •  G2S_CBE331</w:t>
      </w:r>
    </w:p>
    <w:p>
      <w:pPr>
        <w:spacing w:lineRule="exact" w:after="0"/>
      </w:pPr>
      <w:r>
        <w:rPr>
          <w:position w:val="10"/>
        </w:rPr>
        <w:t xml:space="preserve">  •  G2S_CBE501</w:t>
      </w:r>
    </w:p>
    <w:p>
      <w:pPr>
        <w:spacing w:lineRule="exact" w:after="0"/>
      </w:pPr>
      <w:r>
        <w:rPr>
          <w:position w:val="10"/>
        </w:rPr>
        <w:t xml:space="preserve">  •  G2S_CCE001</w:t>
      </w:r>
    </w:p>
    <w:p>
      <w:pPr>
        <w:spacing w:lineRule="exact" w:after="0"/>
      </w:pPr>
      <w:r>
        <w:rPr>
          <w:position w:val="10"/>
        </w:rPr>
        <w:t xml:space="preserve">  •  G2S_CCE002</w:t>
      </w:r>
    </w:p>
    <w:p>
      <w:pPr>
        <w:spacing w:lineRule="exact" w:after="0"/>
      </w:pPr>
      <w:r>
        <w:rPr>
          <w:position w:val="10"/>
        </w:rPr>
        <w:t xml:space="preserve">  •  G2S_CME130</w:t>
      </w:r>
    </w:p>
    <w:p>
      <w:pPr>
        <w:spacing w:lineRule="exact" w:after="0"/>
      </w:pPr>
      <w:r>
        <w:rPr>
          <w:position w:val="10"/>
        </w:rPr>
        <w:t xml:space="preserve">  •  G2S_CME131</w:t>
      </w:r>
    </w:p>
    <w:p>
      <w:pPr>
        <w:spacing w:lineRule="exact" w:after="0"/>
      </w:pPr>
      <w:r>
        <w:rPr>
          <w:position w:val="10"/>
        </w:rPr>
        <w:t xml:space="preserve">  •  G2S_CME132</w:t>
      </w:r>
    </w:p>
    <w:p>
      <w:pPr>
        <w:spacing w:lineRule="exact" w:after="0"/>
      </w:pPr>
      <w:r>
        <w:rPr>
          <w:position w:val="10"/>
        </w:rPr>
        <w:t xml:space="preserve">  •  G2S_CME140</w:t>
      </w:r>
    </w:p>
    <w:p>
      <w:pPr>
        <w:spacing w:lineRule="exact" w:after="0"/>
      </w:pPr>
      <w:r>
        <w:rPr>
          <w:position w:val="10"/>
        </w:rPr>
        <w:t xml:space="preserve">  •  G2S_CME141</w:t>
      </w:r>
    </w:p>
    <w:p>
      <w:pPr>
        <w:spacing w:lineRule="exact" w:after="0"/>
      </w:pPr>
      <w:r>
        <w:rPr>
          <w:position w:val="10"/>
        </w:rPr>
        <w:t xml:space="preserve">  •  G2S_CME150</w:t>
      </w:r>
    </w:p>
    <w:p>
      <w:pPr>
        <w:spacing w:lineRule="exact" w:after="0"/>
      </w:pPr>
      <w:r>
        <w:rPr>
          <w:position w:val="10"/>
        </w:rPr>
        <w:t xml:space="preserve">  •  G2S_CME151</w:t>
      </w:r>
    </w:p>
    <w:p>
      <w:pPr>
        <w:spacing w:lineRule="exact" w:after="0"/>
      </w:pPr>
      <w:r>
        <w:rPr>
          <w:position w:val="10"/>
        </w:rPr>
        <w:t xml:space="preserve">  •  G2S_GPE007</w:t>
      </w:r>
    </w:p>
    <w:p>
      <w:pPr>
        <w:spacing w:lineRule="exact" w:after="0"/>
      </w:pPr>
      <w:r>
        <w:rPr>
          <w:position w:val="10"/>
        </w:rPr>
        <w:t xml:space="preserve">  •  G2S_GPE008</w:t>
      </w:r>
    </w:p>
    <w:p>
      <w:pPr>
        <w:spacing w:lineRule="exact" w:after="0"/>
      </w:pPr>
      <w:r>
        <w:rPr>
          <w:position w:val="10"/>
        </w:rPr>
        <w:t xml:space="preserve">  •  G2S_OCE007</w:t>
      </w:r>
    </w:p>
    <w:p>
      <w:pPr>
        <w:spacing w:lineRule="exact" w:after="0"/>
      </w:pPr>
      <w:r>
        <w:rPr>
          <w:position w:val="10"/>
        </w:rPr>
        <w:t xml:space="preserve">  •  G2S_OCE008</w:t>
      </w:r>
    </w:p>
    <w:p>
      <w:pPr>
        <w:spacing w:lineRule="exact" w:after="0"/>
      </w:pPr>
      <w:r>
        <w:rPr>
          <w:position w:val="10"/>
        </w:rPr>
        <w:t xml:space="preserve">  •  RBG_PRE001</w:t>
      </w:r>
    </w:p>
    <w:p>
      <w:pPr>
        <w:spacing w:lineRule="exact" w:after="0"/>
      </w:pPr>
      <w:r>
        <w:rPr>
          <w:position w:val="10"/>
        </w:rPr>
        <w:t xml:space="preserve">  •  RBG_PRE002</w:t>
      </w:r>
    </w:p>
    <w:p>
      <w:pPr>
        <w:spacing w:lineRule="exact" w:after="0"/>
      </w:pPr>
    </w:p>
    <w:p>
      <w:pPr>
        <w:pageBreakBefore/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Registered Hosts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Pr>
        <w:tblW w:w="5000" w:type="pct"/>
      </w:tblPr>
      <w:tr>
        <w:trPr>
          <w:tblHeader w:val="on"/>
        </w:trPr>
        <w:tc>
          <w:tcPr>
            <w:tcW w:w="75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Host ID</w:t>
            </w:r>
          </w:p>
        </w:tc>
        <w:tc>
          <w:tcPr>
            <w:tcW w:w="4250"/>
          </w:tcPr>
          <w:tcPr>
            <w:tcW w:w="42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Host Location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0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localhost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http://localhost:47101/</w:t>
            </w:r>
          </w:p>
        </w:tc>
      </w:tr>
    </w:tbl>
    <w:p>
      <w:pPr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Device Ownership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Pr>
        <w:tblW w:w="5000" w:type="pct"/>
      </w:tblPr>
      <w:tr>
        <w:trPr>
          <w:tblHeader w:val="on"/>
        </w:trPr>
        <w:tc>
          <w:tcPr>
            <w:tcW w:w="1250"/>
          </w:tcPr>
          <w:tcPr>
            <w:tcW w:w="12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Device Name</w:t>
            </w:r>
          </w:p>
        </w:tc>
        <w:tc>
          <w:tcPr>
            <w:tcW w:w="75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Device ID</w:t>
            </w:r>
          </w:p>
        </w:tc>
        <w:tc>
          <w:tcPr>
            <w:tcW w:w="750"/>
          </w:tcPr>
          <w:tcPr>
            <w:tcW w:w="7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Owner ID</w:t>
            </w:r>
          </w:p>
        </w:tc>
        <w:tc>
          <w:tcPr>
            <w:tcW w:w="2250"/>
          </w:tcPr>
          <w:tcPr>
            <w:tcW w:w="2250" w:type="pct"/>
          </w:tcPr>
          <w:p>
            <w:pPr>
              <w:spacing w:lineRule="exact" w:after="0"/>
              <w:jc w:val="center"/>
            </w:pPr>
            <w:pPr>
              <w:keepNext w:val="true"/>
            </w:pPr>
            <w:r>
              <w:rPr>
                <w:b w:val="true"/>
              </w:rPr>
              <w:t>Permissions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Audit Meters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Bonus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Cabinet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526059076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Coin Acceptor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Communication Config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Communications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Download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Event Handler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GAT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Game Play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Game Play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2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Game Play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3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Game Play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4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Game Play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5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Game Play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6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Handpay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Hopper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ID Reader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Media Display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Meters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Note Acceptor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Note Dispenser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Option Config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Player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Printer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Progressive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Progressive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2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Storage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Voucher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WAT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WAT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2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17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owner</w:t>
            </w:r>
          </w:p>
        </w:tc>
      </w:tr>
    </w:tbl>
    <w:p>
      <w:pPr>
        <w:spacing w:lineRule="exact" w:after="0"/>
      </w:pPr>
    </w:p>
    <w:sectPr w:rsidR="000515FD" w:rsidRPr="005332AE" w:rsidSect="005B233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A2E" w:rsidRDefault="00210A2E" w:rsidP="00797F8E">
      <w:r>
        <w:separator/>
      </w:r>
    </w:p>
  </w:endnote>
  <w:endnote w:type="continuationSeparator" w:id="0">
    <w:p w:rsidR="00210A2E" w:rsidRDefault="00210A2E" w:rsidP="0079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34C" w:rsidRPr="00F9701A" w:rsidRDefault="00A0134C" w:rsidP="00A0134C">
    <w:pPr>
      <w:pStyle w:val="Footer"/>
      <w:pBdr>
        <w:top w:val="single" w:sz="4" w:space="0" w:color="A5A5A5" w:themeColor="background1" w:themeShade="A5"/>
      </w:pBdr>
      <w:rPr>
        <w:color w:val="808080" w:themeColor="background1" w:themeShade="80"/>
        <w:sz w:val="10"/>
        <w:szCs w:val="10"/>
      </w:rPr>
    </w:pPr>
  </w:p>
  <w:p w:rsidR="000927FA" w:rsidRPr="00AC604C" w:rsidRDefault="00A0134C" w:rsidP="00A0134C">
    <w:pPr>
      <w:pStyle w:val="Footer"/>
      <w:pBdr>
        <w:top w:val="single" w:sz="4" w:space="0" w:color="A5A5A5" w:themeColor="background1" w:themeShade="A5"/>
      </w:pBdr>
    </w:pPr>
    <w:r w:rsidRPr="00AC604C">
      <w:rPr>
        <w:noProof/>
      </w:rPr>
      <w:drawing>
        <wp:inline distT="0" distB="0" distL="0" distR="0" wp14:anchorId="62D4F8D1" wp14:editId="1F5A5959">
          <wp:extent cx="676275" cy="159393"/>
          <wp:effectExtent l="0" t="0" r="0" b="0"/>
          <wp:docPr id="5" name="Picture 5" descr="C:\Users\Sam\Desktop\logo ideas\radblueLogo_lrgHiR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m\Desktop\logo ideas\radblueLogo_lrgHiRe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1593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C604C">
      <w:tab/>
    </w:r>
    <w:r w:rsidRPr="00AC604C">
      <w:rPr>
        <w:rFonts w:eastAsiaTheme="majorEastAsia" w:cstheme="majorBidi"/>
      </w:rPr>
      <w:t>CVT-8.12.0</w:t>
    </w:r>
    <w:r w:rsidRPr="00AC604C">
      <w:tab/>
      <w:t xml:space="preserve">Page </w:t>
    </w:r>
    <w:r w:rsidRPr="00AC604C">
      <w:rPr>
        <w:b/>
      </w:rPr>
      <w:fldChar w:fldCharType="begin"/>
    </w:r>
    <w:r w:rsidRPr="00AC604C">
      <w:rPr>
        <w:b/>
      </w:rPr>
      <w:instrText xml:space="preserve"> PAGE  \* Arabic  \* MERGEFORMAT </w:instrText>
    </w:r>
    <w:r w:rsidRPr="00AC604C">
      <w:rPr>
        <w:b/>
      </w:rPr>
      <w:fldChar w:fldCharType="separate"/>
    </w:r>
    <w:r w:rsidR="00F36B5F">
      <w:rPr>
        <w:b/>
        <w:noProof/>
      </w:rPr>
      <w:t>1</w:t>
    </w:r>
    <w:r w:rsidRPr="00AC604C">
      <w:rPr>
        <w:b/>
      </w:rPr>
      <w:fldChar w:fldCharType="end"/>
    </w:r>
    <w:r w:rsidRPr="00AC604C">
      <w:t xml:space="preserve"> of </w:t>
    </w:r>
    <w:r w:rsidRPr="00AC604C">
      <w:rPr>
        <w:b/>
      </w:rPr>
      <w:fldChar w:fldCharType="begin"/>
    </w:r>
    <w:r w:rsidRPr="00AC604C">
      <w:rPr>
        <w:b/>
      </w:rPr>
      <w:instrText xml:space="preserve"> NUMPAGES  \* Arabic  \* MERGEFORMAT </w:instrText>
    </w:r>
    <w:r w:rsidRPr="00AC604C">
      <w:rPr>
        <w:b/>
      </w:rPr>
      <w:fldChar w:fldCharType="separate"/>
    </w:r>
    <w:r w:rsidR="00F36B5F">
      <w:rPr>
        <w:b/>
        <w:noProof/>
      </w:rPr>
      <w:t>1</w:t>
    </w:r>
    <w:r w:rsidRPr="00AC604C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A2E" w:rsidRDefault="00210A2E" w:rsidP="00797F8E">
      <w:r>
        <w:separator/>
      </w:r>
    </w:p>
  </w:footnote>
  <w:footnote w:type="continuationSeparator" w:id="0">
    <w:p w:rsidR="00210A2E" w:rsidRDefault="00210A2E" w:rsidP="00797F8E">
      <w:r>
        <w:continuationSeparator/>
      </w:r>
    </w:p>
  </w:footnote>
  <w:footnote w:type="separator" w:id="-1">
    <w:p w:rsidR="00210A2E" w:rsidRDefault="00210A2E" w:rsidP="00797F8E">
      <w:r>
        <w:separator/>
      </w:r>
    </w:p>
  </w:footnote>
  <w:footnote w:type="continuationSeparator" w:id="0">
    <w:p w:rsidR="00210A2E" w:rsidRDefault="00210A2E" w:rsidP="00797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F8E" w:rsidRPr="00AC604C" w:rsidRDefault="00D318D6">
    <w:pPr>
      <w:pStyle w:val="Header"/>
    </w:pPr>
    <w:r w:rsidRPr="00AC604C">
      <w:t>CVT EGM Detail Report</w:t>
    </w:r>
    <w:r w:rsidR="00A47C81" w:rsidRPr="00AC604C">
      <w:tab/>
    </w:r>
    <w:r w:rsidR="00A47C81" w:rsidRPr="00AC604C">
      <w:tab/>
    </w:r>
    <w:r w:rsidR="00F36B5F">
      <w:t>26 Mar 2014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F8E"/>
    <w:rsid w:val="000515FD"/>
    <w:rsid w:val="000927FA"/>
    <w:rsid w:val="000C397F"/>
    <w:rsid w:val="001D36DA"/>
    <w:rsid w:val="00210A2E"/>
    <w:rsid w:val="002C0C0E"/>
    <w:rsid w:val="003579B8"/>
    <w:rsid w:val="003A09D3"/>
    <w:rsid w:val="003B195C"/>
    <w:rsid w:val="003B6467"/>
    <w:rsid w:val="003F274E"/>
    <w:rsid w:val="00456351"/>
    <w:rsid w:val="00496C84"/>
    <w:rsid w:val="00507DE2"/>
    <w:rsid w:val="005332AE"/>
    <w:rsid w:val="005B233E"/>
    <w:rsid w:val="005F108B"/>
    <w:rsid w:val="00694236"/>
    <w:rsid w:val="006B4BA4"/>
    <w:rsid w:val="006B6D6C"/>
    <w:rsid w:val="006D5A3E"/>
    <w:rsid w:val="00797F8E"/>
    <w:rsid w:val="007D360C"/>
    <w:rsid w:val="008707C1"/>
    <w:rsid w:val="00897B67"/>
    <w:rsid w:val="008D6357"/>
    <w:rsid w:val="00901DD2"/>
    <w:rsid w:val="00905557"/>
    <w:rsid w:val="0090741F"/>
    <w:rsid w:val="0092303A"/>
    <w:rsid w:val="00943BAD"/>
    <w:rsid w:val="009763CA"/>
    <w:rsid w:val="009A76EC"/>
    <w:rsid w:val="009B5529"/>
    <w:rsid w:val="00A0134C"/>
    <w:rsid w:val="00A1731D"/>
    <w:rsid w:val="00A315A8"/>
    <w:rsid w:val="00A47C81"/>
    <w:rsid w:val="00AA16B0"/>
    <w:rsid w:val="00AC604C"/>
    <w:rsid w:val="00AE2F4B"/>
    <w:rsid w:val="00B54C6E"/>
    <w:rsid w:val="00B64C8A"/>
    <w:rsid w:val="00B66EDF"/>
    <w:rsid w:val="00BD5FC1"/>
    <w:rsid w:val="00BE220C"/>
    <w:rsid w:val="00BF4A49"/>
    <w:rsid w:val="00C717E9"/>
    <w:rsid w:val="00CF6583"/>
    <w:rsid w:val="00D121AD"/>
    <w:rsid w:val="00D318D6"/>
    <w:rsid w:val="00D412ED"/>
    <w:rsid w:val="00D536FB"/>
    <w:rsid w:val="00D658EA"/>
    <w:rsid w:val="00DA0FDE"/>
    <w:rsid w:val="00E70BBA"/>
    <w:rsid w:val="00E74633"/>
    <w:rsid w:val="00E85970"/>
    <w:rsid w:val="00F25DCB"/>
    <w:rsid w:val="00F36B5F"/>
    <w:rsid w:val="00F570C9"/>
    <w:rsid w:val="00F83C91"/>
    <w:rsid w:val="00F9431E"/>
    <w:rsid w:val="00F9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A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F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7F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7F8E"/>
  </w:style>
  <w:style w:type="paragraph" w:styleId="Footer">
    <w:name w:val="footer"/>
    <w:basedOn w:val="Normal"/>
    <w:link w:val="FooterChar"/>
    <w:uiPriority w:val="99"/>
    <w:unhideWhenUsed/>
    <w:rsid w:val="00797F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F8E"/>
  </w:style>
  <w:style w:type="paragraph" w:styleId="BalloonText">
    <w:name w:val="Balloon Text"/>
    <w:basedOn w:val="Normal"/>
    <w:link w:val="BalloonTextChar"/>
    <w:uiPriority w:val="99"/>
    <w:semiHidden/>
    <w:unhideWhenUsed/>
    <w:rsid w:val="00797F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F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7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797F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8D6357"/>
  </w:style>
  <w:style w:type="paragraph" w:customStyle="1" w:styleId="3CBD5A742C28424DA5172AD252E32316">
    <w:name w:val="3CBD5A742C28424DA5172AD252E32316"/>
    <w:rsid w:val="00A0134C"/>
    <w:pPr>
      <w:spacing w:after="200" w:line="276" w:lineRule="auto"/>
    </w:pPr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ntTable" Target="fontTable.xml"/>
  <Relationship Id="rId11" Type="http://schemas.openxmlformats.org/officeDocument/2006/relationships/theme" Target="theme/theme1.xml"/>
  <Relationship Id="rId2" Type="http://schemas.openxmlformats.org/officeDocument/2006/relationships/styles" Target="styles.xml"/>
  <Relationship Id="rId3" Type="http://schemas.microsoft.com/office/2007/relationships/stylesWithEffects" Target="stylesWithEffect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otnotes" Target="footnotes.xml"/>
  <Relationship Id="rId7" Type="http://schemas.openxmlformats.org/officeDocument/2006/relationships/endnotes" Target="endnotes.xm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_rels/footer1.xml.rels><?xml version="1.0" encoding="UTF-8"?>

<Relationships xmlns="http://schemas.openxmlformats.org/package/2006/relationships">
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B000E-ADE6-4A3A-B9E9-AC366D94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2012-10-11T22:16:00Z</dcterms:created>
  <dc:creator>Radical Blue Gaming, Inc.</dc:creator>
  <dc:description>CVT 39.-1.0</dc:description>
  <lastModifiedBy>Devendra Bayya</lastModifiedBy>
  <lastPrinted>2012-10-11T22:48:00Z</lastPrinted>
  <dcterms:modified xsi:type="dcterms:W3CDTF">2013-05-30T22:20:00Z</dcterms:modified>
  <revision>36</revision>
  <dc:title>CVT EGM Detail Report</dc:title>
</coreProperties>
</file>